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EC" w:rsidRDefault="00BD2AEC" w:rsidP="00BD2AEC">
      <w:pPr>
        <w:spacing w:after="17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Приложение № 6  </w:t>
      </w:r>
    </w:p>
    <w:p w:rsidR="00BD2AEC" w:rsidRDefault="00BD2AEC" w:rsidP="00BD2AEC">
      <w:pPr>
        <w:spacing w:after="17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к Антикоррупционной политике </w:t>
      </w:r>
    </w:p>
    <w:p w:rsidR="00BD2AEC" w:rsidRDefault="00BD2AEC" w:rsidP="00BD2AEC">
      <w:pPr>
        <w:spacing w:after="17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СОШ № 43 </w:t>
      </w:r>
    </w:p>
    <w:p w:rsidR="00BD2AEC" w:rsidRDefault="00BD2AEC" w:rsidP="00BD2AEC">
      <w:pPr>
        <w:spacing w:after="2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60882" w:rsidRDefault="00BD2AEC" w:rsidP="00BD2AE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Карта коррупционных рисков СОШ № 43 (далее – ОО)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8"/>
        <w:gridCol w:w="2115"/>
        <w:gridCol w:w="2449"/>
        <w:gridCol w:w="2730"/>
        <w:gridCol w:w="2028"/>
        <w:gridCol w:w="2230"/>
        <w:gridCol w:w="2044"/>
      </w:tblGrid>
      <w:tr w:rsidR="00BD2AEC" w:rsidTr="00BD2AE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Коррупционные риски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«Критические» точки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ind w:firstLine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Возможные коррупционные правонарушения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ind w:left="209" w:right="193" w:firstLine="11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Меры по устранению или минимизации коррупционных рисков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Категория работников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Характеристика выгоды или преимущества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Вероятные формы осуществления </w:t>
            </w:r>
          </w:p>
        </w:tc>
      </w:tr>
      <w:tr w:rsidR="00BD2AEC" w:rsidTr="00AB7244">
        <w:tc>
          <w:tcPr>
            <w:tcW w:w="15694" w:type="dxa"/>
            <w:gridSpan w:val="7"/>
          </w:tcPr>
          <w:p w:rsidR="00BD2AEC" w:rsidRDefault="00BD2AEC" w:rsidP="00BD2A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Образовательные деятельность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spacing w:after="19"/>
              <w:ind w:left="115" w:right="-127"/>
            </w:pPr>
            <w:r>
              <w:rPr>
                <w:rFonts w:ascii="Times New Roman" w:eastAsia="Times New Roman" w:hAnsi="Times New Roman" w:cs="Times New Roman"/>
              </w:rPr>
              <w:t>Процедура приёма,</w:t>
            </w:r>
          </w:p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>перевода отчисления обучающихся.</w:t>
            </w:r>
          </w:p>
        </w:tc>
        <w:tc>
          <w:tcPr>
            <w:tcW w:w="2115" w:type="dxa"/>
          </w:tcPr>
          <w:p w:rsidR="00BD2AEC" w:rsidRDefault="00BD2AEC" w:rsidP="00BD2AEC">
            <w:pPr>
              <w:spacing w:after="8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Прием детей в ОО </w:t>
            </w:r>
          </w:p>
          <w:p w:rsidR="00BD2AEC" w:rsidRDefault="00BD2AEC" w:rsidP="00BD2AEC">
            <w:pPr>
              <w:ind w:left="5"/>
              <w:jc w:val="both"/>
            </w:pPr>
          </w:p>
        </w:tc>
        <w:tc>
          <w:tcPr>
            <w:tcW w:w="2449" w:type="dxa"/>
          </w:tcPr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Прием детей в ОО с нарушением действующего законодательства и принятых локальных актов ОО</w:t>
            </w:r>
          </w:p>
        </w:tc>
        <w:tc>
          <w:tcPr>
            <w:tcW w:w="2730" w:type="dxa"/>
          </w:tcPr>
          <w:p w:rsidR="00BD2AEC" w:rsidRDefault="00BD2AEC" w:rsidP="00BD2AEC">
            <w:pPr>
              <w:numPr>
                <w:ilvl w:val="0"/>
                <w:numId w:val="1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ведение электронной регистрации заявлений обучающихся, </w:t>
            </w:r>
          </w:p>
          <w:p w:rsidR="00BD2AEC" w:rsidRDefault="00BD2AEC" w:rsidP="00BD2AEC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поступающих в 1 класс; </w:t>
            </w:r>
          </w:p>
          <w:p w:rsidR="00BD2AEC" w:rsidRDefault="00BD2AEC" w:rsidP="00BD2AEC">
            <w:pPr>
              <w:numPr>
                <w:ilvl w:val="0"/>
                <w:numId w:val="1"/>
              </w:numPr>
              <w:spacing w:after="16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</w:p>
          <w:p w:rsidR="00BD2AEC" w:rsidRDefault="00BD2AEC" w:rsidP="00BD2AEC">
            <w:pPr>
              <w:spacing w:after="2" w:line="276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«прозрачности» приёмной кампании; </w:t>
            </w:r>
          </w:p>
          <w:p w:rsidR="00BD2AEC" w:rsidRDefault="00BD2AEC" w:rsidP="00BD2AEC">
            <w:pPr>
              <w:numPr>
                <w:ilvl w:val="0"/>
                <w:numId w:val="1"/>
              </w:numPr>
              <w:spacing w:after="23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</w:p>
          <w:p w:rsidR="00BD2AEC" w:rsidRDefault="00BD2AEC" w:rsidP="00BD2AEC">
            <w:pPr>
              <w:ind w:left="113"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необходимой информации по наполняемости классов</w:t>
            </w:r>
          </w:p>
        </w:tc>
        <w:tc>
          <w:tcPr>
            <w:tcW w:w="2028" w:type="dxa"/>
          </w:tcPr>
          <w:p w:rsidR="00BD2AEC" w:rsidRDefault="00BD2AEC" w:rsidP="00BD2AEC">
            <w:pPr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Директор, зам директора по УВР в начальной школе, секретарь</w:t>
            </w:r>
          </w:p>
        </w:tc>
        <w:tc>
          <w:tcPr>
            <w:tcW w:w="2230" w:type="dxa"/>
          </w:tcPr>
          <w:p w:rsidR="00BD2AEC" w:rsidRDefault="00BD2AEC" w:rsidP="00BD2AEC">
            <w:pPr>
              <w:ind w:left="113" w:right="97"/>
            </w:pPr>
            <w:r>
              <w:rPr>
                <w:rFonts w:ascii="Times New Roman" w:eastAsia="Times New Roman" w:hAnsi="Times New Roman" w:cs="Times New Roman"/>
              </w:rPr>
              <w:t>Имущественного и неимущественного характера</w:t>
            </w:r>
          </w:p>
        </w:tc>
        <w:tc>
          <w:tcPr>
            <w:tcW w:w="2044" w:type="dxa"/>
          </w:tcPr>
          <w:p w:rsidR="00BD2AEC" w:rsidRDefault="00BD2AEC" w:rsidP="00BD2AEC">
            <w:pPr>
              <w:tabs>
                <w:tab w:val="center" w:pos="1752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 xml:space="preserve">вознаграждение </w:t>
            </w:r>
            <w:r>
              <w:rPr>
                <w:rFonts w:ascii="Times New Roman" w:eastAsia="Times New Roman" w:hAnsi="Times New Roman" w:cs="Times New Roman"/>
              </w:rPr>
              <w:t>от частного лица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Аттестация обучающихся </w:t>
            </w:r>
          </w:p>
        </w:tc>
        <w:tc>
          <w:tcPr>
            <w:tcW w:w="2115" w:type="dxa"/>
          </w:tcPr>
          <w:p w:rsidR="00BD2AEC" w:rsidRDefault="00BD2AEC" w:rsidP="00BD2AEC">
            <w:pPr>
              <w:spacing w:line="280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Получение, учёт, заполнение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порядок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выдачи документов </w:t>
            </w:r>
          </w:p>
          <w:p w:rsidR="00BD2AEC" w:rsidRDefault="00BD2AEC" w:rsidP="00BD2AEC">
            <w:pPr>
              <w:spacing w:after="15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государственного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 xml:space="preserve">образца </w:t>
            </w:r>
            <w:r>
              <w:rPr>
                <w:rFonts w:ascii="Times New Roman" w:eastAsia="Times New Roman" w:hAnsi="Times New Roman" w:cs="Times New Roman"/>
              </w:rPr>
              <w:tab/>
              <w:t>об образовании.</w:t>
            </w:r>
          </w:p>
        </w:tc>
        <w:tc>
          <w:tcPr>
            <w:tcW w:w="2449" w:type="dxa"/>
          </w:tcPr>
          <w:p w:rsidR="00BD2AEC" w:rsidRDefault="00BD2AEC" w:rsidP="00BD2AE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 Выдача документов государственного </w:t>
            </w:r>
          </w:p>
          <w:p w:rsidR="00BD2AEC" w:rsidRDefault="00BD2AEC" w:rsidP="00BD2AEC">
            <w:pPr>
              <w:tabs>
                <w:tab w:val="right" w:pos="2179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образца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 </w:t>
            </w:r>
          </w:p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нарушением действующего законодательства и принятых локальных актов ОО</w:t>
            </w:r>
          </w:p>
        </w:tc>
        <w:tc>
          <w:tcPr>
            <w:tcW w:w="2730" w:type="dxa"/>
          </w:tcPr>
          <w:p w:rsidR="00BD2AEC" w:rsidRDefault="00BD2AEC" w:rsidP="00BD2AEC">
            <w:pPr>
              <w:spacing w:line="277" w:lineRule="auto"/>
              <w:ind w:left="115" w:right="19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назначение ответственного лица за заполнение документов государственного образца об образовании, свидетельств </w:t>
            </w:r>
          </w:p>
          <w:p w:rsidR="00BD2AEC" w:rsidRDefault="00BD2AEC" w:rsidP="00BD2AEC">
            <w:pPr>
              <w:ind w:left="113" w:righ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установленного образца; </w:t>
            </w:r>
          </w:p>
          <w:p w:rsidR="00BD2AEC" w:rsidRDefault="00BD2AEC" w:rsidP="00BD2AEC">
            <w:pPr>
              <w:ind w:left="113" w:right="100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создание комиссии по проверке данных, вносимых в документы;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создание комиссии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учёту и списанию бланков строгой отчётности</w:t>
            </w:r>
          </w:p>
        </w:tc>
        <w:tc>
          <w:tcPr>
            <w:tcW w:w="2028" w:type="dxa"/>
          </w:tcPr>
          <w:p w:rsidR="00BD2AEC" w:rsidRDefault="00BD2AEC" w:rsidP="00BD2AEC">
            <w:pPr>
              <w:ind w:left="115" w:right="96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2230" w:type="dxa"/>
          </w:tcPr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Имущественного и неимущественного характера</w:t>
            </w:r>
          </w:p>
        </w:tc>
        <w:tc>
          <w:tcPr>
            <w:tcW w:w="2044" w:type="dxa"/>
          </w:tcPr>
          <w:p w:rsidR="00BD2AEC" w:rsidRDefault="00BD2AEC" w:rsidP="00BD2AEC">
            <w:pPr>
              <w:tabs>
                <w:tab w:val="center" w:pos="1752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>вознаграждение от частного лица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>и п</w:t>
            </w:r>
            <w:r>
              <w:rPr>
                <w:rFonts w:ascii="Times New Roman" w:eastAsia="Times New Roman" w:hAnsi="Times New Roman" w:cs="Times New Roman"/>
              </w:rPr>
              <w:t>роведение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аттестационных процедур (промежуточная аттестация государственная итоговая аттестация).</w:t>
            </w:r>
          </w:p>
        </w:tc>
        <w:tc>
          <w:tcPr>
            <w:tcW w:w="2115" w:type="dxa"/>
          </w:tcPr>
          <w:p w:rsidR="00BD2AEC" w:rsidRDefault="00BD2AEC" w:rsidP="00BD2AEC">
            <w:pPr>
              <w:spacing w:after="20"/>
            </w:pPr>
            <w:r>
              <w:rPr>
                <w:rFonts w:ascii="Times New Roman" w:eastAsia="Times New Roman" w:hAnsi="Times New Roman" w:cs="Times New Roman"/>
              </w:rPr>
              <w:t>Проведение текущей,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промежуточной и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итоговой аттестации обучающихся</w:t>
            </w:r>
          </w:p>
        </w:tc>
        <w:tc>
          <w:tcPr>
            <w:tcW w:w="2449" w:type="dxa"/>
          </w:tcPr>
          <w:p w:rsidR="00BD2AEC" w:rsidRDefault="00BD2AEC" w:rsidP="00BD2AEC">
            <w:pPr>
              <w:spacing w:after="16"/>
              <w:ind w:left="113"/>
            </w:pPr>
            <w:r>
              <w:rPr>
                <w:rFonts w:ascii="Times New Roman" w:eastAsia="Times New Roman" w:hAnsi="Times New Roman" w:cs="Times New Roman"/>
              </w:rPr>
              <w:t>1.Предоставление преимуществ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(создание «особых» </w:t>
            </w:r>
          </w:p>
          <w:p w:rsidR="00BD2AEC" w:rsidRDefault="00BD2AEC" w:rsidP="00BD2AE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условий при выполнении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работ, дополнительные пересдачи, переписывания, облегченные варианты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работ, «подсказки»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 стороны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учителя, «завышение» оценок) отдельным обучающимся при проведении текущей аттестации. </w:t>
            </w:r>
          </w:p>
          <w:p w:rsidR="00BD2AEC" w:rsidRDefault="00BD2AEC" w:rsidP="00BD2AEC">
            <w:pPr>
              <w:numPr>
                <w:ilvl w:val="0"/>
                <w:numId w:val="2"/>
              </w:numPr>
              <w:spacing w:line="27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преимуществ (дополнительные пересдачи, переписывания, «завышение» оценок) отдельным </w:t>
            </w:r>
          </w:p>
          <w:p w:rsidR="00BD2AEC" w:rsidRDefault="00BD2AEC" w:rsidP="00BD2AEC">
            <w:pPr>
              <w:tabs>
                <w:tab w:val="center" w:pos="779"/>
                <w:tab w:val="center" w:pos="1906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обучающимся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при </w:t>
            </w:r>
          </w:p>
          <w:p w:rsidR="00BD2AEC" w:rsidRDefault="00BD2AEC" w:rsidP="00BD2AEC">
            <w:pPr>
              <w:spacing w:line="277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проведении промежуточной аттестации. </w:t>
            </w:r>
          </w:p>
          <w:p w:rsidR="00BD2AEC" w:rsidRDefault="00BD2AEC" w:rsidP="00BD2AEC">
            <w:pPr>
              <w:numPr>
                <w:ilvl w:val="0"/>
                <w:numId w:val="2"/>
              </w:numPr>
              <w:spacing w:line="28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преимуществ </w:t>
            </w:r>
          </w:p>
          <w:p w:rsidR="00BD2AEC" w:rsidRDefault="00BD2AEC" w:rsidP="00BD2AEC">
            <w:pPr>
              <w:spacing w:after="2" w:line="279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(создание «особых» условий </w:t>
            </w:r>
            <w:r>
              <w:rPr>
                <w:rFonts w:ascii="Times New Roman" w:eastAsia="Times New Roman" w:hAnsi="Times New Roman" w:cs="Times New Roman"/>
              </w:rPr>
              <w:tab/>
              <w:t>при выполнении работ,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«подсказки»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стороны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учителя) отдельным обучающимся при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проведении итоговой аттестации.</w:t>
            </w:r>
          </w:p>
        </w:tc>
        <w:tc>
          <w:tcPr>
            <w:tcW w:w="2730" w:type="dxa"/>
          </w:tcPr>
          <w:p w:rsidR="00BD2AEC" w:rsidRDefault="00BD2AEC" w:rsidP="00BD2AEC">
            <w:pPr>
              <w:spacing w:after="16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присутствие 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2AEC" w:rsidRDefault="00BD2AEC" w:rsidP="00BD2AEC">
            <w:pPr>
              <w:spacing w:line="276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образовательного учреждения на аттестационных процедурах; </w:t>
            </w:r>
          </w:p>
          <w:p w:rsidR="00BD2AEC" w:rsidRDefault="00BD2AEC" w:rsidP="00BD2AEC">
            <w:pPr>
              <w:spacing w:after="16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чёткое ведение учётно- отчётной документации</w:t>
            </w:r>
          </w:p>
          <w:p w:rsidR="00BD2AEC" w:rsidRDefault="00BD2AEC" w:rsidP="00BD2AEC">
            <w:pPr>
              <w:ind w:left="115"/>
            </w:pPr>
          </w:p>
        </w:tc>
        <w:tc>
          <w:tcPr>
            <w:tcW w:w="2028" w:type="dxa"/>
          </w:tcPr>
          <w:p w:rsidR="00BD2AEC" w:rsidRDefault="00BD2AEC" w:rsidP="00BD2AEC">
            <w:pPr>
              <w:spacing w:line="276" w:lineRule="auto"/>
              <w:ind w:left="1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работники, </w:t>
            </w:r>
          </w:p>
          <w:p w:rsidR="00BD2AEC" w:rsidRDefault="00BD2AEC" w:rsidP="00BD2AEC">
            <w:pPr>
              <w:spacing w:after="4" w:line="271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заместители директора </w:t>
            </w:r>
          </w:p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>УВР</w:t>
            </w:r>
          </w:p>
        </w:tc>
        <w:tc>
          <w:tcPr>
            <w:tcW w:w="2230" w:type="dxa"/>
          </w:tcPr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Имущественного и неимущественного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характера </w:t>
            </w:r>
          </w:p>
        </w:tc>
        <w:tc>
          <w:tcPr>
            <w:tcW w:w="2044" w:type="dxa"/>
          </w:tcPr>
          <w:p w:rsidR="00BD2AEC" w:rsidRDefault="00BD2AEC" w:rsidP="00BD2AEC">
            <w:pPr>
              <w:tabs>
                <w:tab w:val="center" w:pos="1752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вознаграждение от частного лица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Оказание образовательных услуг </w:t>
            </w:r>
          </w:p>
        </w:tc>
        <w:tc>
          <w:tcPr>
            <w:tcW w:w="2115" w:type="dxa"/>
          </w:tcPr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Репетиторство </w:t>
            </w:r>
          </w:p>
        </w:tc>
        <w:tc>
          <w:tcPr>
            <w:tcW w:w="2449" w:type="dxa"/>
          </w:tcPr>
          <w:p w:rsidR="00BD2AEC" w:rsidRDefault="00BD2AEC" w:rsidP="00BD2AEC">
            <w:pPr>
              <w:spacing w:line="277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преимущества отдельным </w:t>
            </w:r>
          </w:p>
          <w:p w:rsidR="00BD2AEC" w:rsidRDefault="00BD2AEC" w:rsidP="00BD2AEC">
            <w:pPr>
              <w:ind w:left="113" w:right="9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обучающимся; не обеспечение качества обучения в рамках реализации основных образовательных программ </w:t>
            </w:r>
          </w:p>
        </w:tc>
        <w:tc>
          <w:tcPr>
            <w:tcW w:w="2730" w:type="dxa"/>
          </w:tcPr>
          <w:p w:rsidR="00BD2AEC" w:rsidRDefault="00BD2AEC" w:rsidP="00BD2AEC">
            <w:pPr>
              <w:spacing w:after="21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Запрет на занятие в ОО </w:t>
            </w:r>
          </w:p>
          <w:p w:rsidR="00BD2AEC" w:rsidRDefault="00BD2AEC" w:rsidP="00BD2AEC">
            <w:pPr>
              <w:spacing w:after="16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деятельностью, </w:t>
            </w:r>
          </w:p>
          <w:p w:rsidR="00BD2AEC" w:rsidRDefault="00BD2AEC" w:rsidP="00BD2AEC">
            <w:pPr>
              <w:spacing w:after="3" w:line="275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несовместимой с выполнением основных </w:t>
            </w:r>
          </w:p>
          <w:p w:rsidR="00BD2AEC" w:rsidRDefault="00BD2AEC" w:rsidP="00BD2AEC">
            <w:pPr>
              <w:ind w:left="115" w:right="52"/>
            </w:pPr>
            <w:r>
              <w:rPr>
                <w:rFonts w:ascii="Times New Roman" w:eastAsia="Times New Roman" w:hAnsi="Times New Roman" w:cs="Times New Roman"/>
              </w:rPr>
              <w:t xml:space="preserve">должностных обязанностей </w:t>
            </w:r>
          </w:p>
        </w:tc>
        <w:tc>
          <w:tcPr>
            <w:tcW w:w="2028" w:type="dxa"/>
          </w:tcPr>
          <w:p w:rsidR="00BD2AEC" w:rsidRDefault="00BD2AEC" w:rsidP="00BD2AEC">
            <w:pPr>
              <w:ind w:left="113" w:right="-85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230" w:type="dxa"/>
          </w:tcPr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 xml:space="preserve">Имущественного и неимущественного характера </w:t>
            </w:r>
          </w:p>
        </w:tc>
        <w:tc>
          <w:tcPr>
            <w:tcW w:w="2044" w:type="dxa"/>
          </w:tcPr>
          <w:p w:rsidR="00BD2AEC" w:rsidRDefault="00BD2AEC" w:rsidP="00BD2AEC">
            <w:pPr>
              <w:tabs>
                <w:tab w:val="center" w:pos="1752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вознаграждение от частного лица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Аттестация педагогических работников </w:t>
            </w:r>
          </w:p>
        </w:tc>
        <w:tc>
          <w:tcPr>
            <w:tcW w:w="2115" w:type="dxa"/>
          </w:tcPr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Проведение аттестации педагогических работников </w:t>
            </w:r>
          </w:p>
        </w:tc>
        <w:tc>
          <w:tcPr>
            <w:tcW w:w="2449" w:type="dxa"/>
          </w:tcPr>
          <w:p w:rsidR="00BD2AEC" w:rsidRDefault="00BD2AEC" w:rsidP="00BD2AEC">
            <w:pPr>
              <w:ind w:left="113" w:right="19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Необъективная оценка деятельности работников, завышение результативности </w:t>
            </w:r>
          </w:p>
          <w:p w:rsidR="00BD2AEC" w:rsidRDefault="00BD2AEC" w:rsidP="00BD2AEC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труда, влияющее на уровень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оплаты труда </w:t>
            </w:r>
          </w:p>
          <w:p w:rsidR="00BD2AEC" w:rsidRDefault="00BD2AEC" w:rsidP="00BD2AEC">
            <w:pPr>
              <w:spacing w:after="18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Предоставление преимуществ (создание «особых» условий при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рохождении аттестации) </w:t>
            </w:r>
          </w:p>
        </w:tc>
        <w:tc>
          <w:tcPr>
            <w:tcW w:w="2730" w:type="dxa"/>
          </w:tcPr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контроль подготовки и проведения </w:t>
            </w:r>
          </w:p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аттестационных процессов педагогов; </w:t>
            </w:r>
          </w:p>
          <w:p w:rsidR="00BD2AEC" w:rsidRDefault="00BD2AEC" w:rsidP="00BD2AE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-регламентация процедур аттестации,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оценки эффективности деятельности </w:t>
            </w:r>
          </w:p>
          <w:p w:rsidR="00BD2AEC" w:rsidRDefault="00BD2AEC" w:rsidP="00BD2AEC">
            <w:pPr>
              <w:tabs>
                <w:tab w:val="center" w:pos="815"/>
                <w:tab w:val="center" w:pos="22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-прозрачность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системы оценки </w:t>
            </w:r>
          </w:p>
          <w:p w:rsidR="00BD2AEC" w:rsidRDefault="00BD2AEC" w:rsidP="00BD2AEC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создание общественных комиссий и жюри; </w:t>
            </w:r>
          </w:p>
          <w:p w:rsidR="00BD2AEC" w:rsidRDefault="00BD2AEC" w:rsidP="00BD2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назначение ответственного лица за заполнение сертификатов, дипломов и грамот;</w:t>
            </w:r>
          </w:p>
          <w:p w:rsidR="00BD2AEC" w:rsidRDefault="00BD2AEC" w:rsidP="00BD2AEC"/>
        </w:tc>
        <w:tc>
          <w:tcPr>
            <w:tcW w:w="2028" w:type="dxa"/>
          </w:tcPr>
          <w:p w:rsidR="00BD2AEC" w:rsidRDefault="00BD2AEC" w:rsidP="00BD2AEC">
            <w:pPr>
              <w:spacing w:line="278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Директор, заместители </w:t>
            </w:r>
          </w:p>
          <w:p w:rsidR="00BD2AEC" w:rsidRDefault="00BD2AEC" w:rsidP="00BD2AEC">
            <w:pPr>
              <w:spacing w:line="275" w:lineRule="auto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директора УВР </w:t>
            </w:r>
          </w:p>
          <w:p w:rsidR="00BD2AEC" w:rsidRDefault="00BD2AEC" w:rsidP="00BD2AEC">
            <w:pPr>
              <w:jc w:val="center"/>
            </w:pPr>
          </w:p>
        </w:tc>
        <w:tc>
          <w:tcPr>
            <w:tcW w:w="2230" w:type="dxa"/>
          </w:tcPr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 xml:space="preserve">Имущественного и неимущественного характера </w:t>
            </w:r>
          </w:p>
        </w:tc>
        <w:tc>
          <w:tcPr>
            <w:tcW w:w="2044" w:type="dxa"/>
          </w:tcPr>
          <w:p w:rsidR="00BD2AEC" w:rsidRDefault="00BD2AEC" w:rsidP="00BD2AEC">
            <w:pPr>
              <w:tabs>
                <w:tab w:val="center" w:pos="1752"/>
              </w:tabs>
              <w:spacing w:after="2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</w:rPr>
              <w:t>вознаграждение от частного лица</w:t>
            </w:r>
          </w:p>
        </w:tc>
      </w:tr>
      <w:tr w:rsidR="00BD2AEC" w:rsidTr="005711F0">
        <w:tc>
          <w:tcPr>
            <w:tcW w:w="15694" w:type="dxa"/>
            <w:gridSpan w:val="7"/>
          </w:tcPr>
          <w:p w:rsidR="00BD2AEC" w:rsidRDefault="00BD2AEC" w:rsidP="00BD2AEC">
            <w:pPr>
              <w:tabs>
                <w:tab w:val="center" w:pos="1752"/>
              </w:tabs>
              <w:spacing w:after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Финансово-хозяйственная деятельность</w:t>
            </w: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spacing w:line="277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закупок для   нужд образовательного учреждения.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7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15" w:type="dxa"/>
          </w:tcPr>
          <w:p w:rsidR="00BD2AEC" w:rsidRDefault="00BD2AEC" w:rsidP="00BD2AEC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</w:t>
            </w:r>
          </w:p>
          <w:p w:rsidR="00BD2AEC" w:rsidRDefault="00BD2AEC" w:rsidP="00BD2AEC">
            <w:pPr>
              <w:tabs>
                <w:tab w:val="center" w:pos="454"/>
                <w:tab w:val="center" w:pos="1764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заказов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</w:p>
          <w:p w:rsidR="00BD2AEC" w:rsidRDefault="00BD2AEC" w:rsidP="00BD2AEC">
            <w:pPr>
              <w:spacing w:line="274" w:lineRule="auto"/>
              <w:ind w:left="108" w:right="5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поставку товаров, выполнение работ и оказание услуг для нужд ОО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49" w:type="dxa"/>
          </w:tcPr>
          <w:p w:rsidR="00BD2AEC" w:rsidRDefault="00BD2AEC" w:rsidP="00BD2AEC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1.Завышение стартовых цен при размещении; </w:t>
            </w:r>
          </w:p>
          <w:p w:rsidR="00BD2AEC" w:rsidRDefault="00BD2AEC" w:rsidP="00BD2AEC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Заключение </w:t>
            </w:r>
          </w:p>
          <w:p w:rsidR="00BD2AEC" w:rsidRDefault="00BD2AEC" w:rsidP="00BD2AEC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государственного </w:t>
            </w:r>
          </w:p>
          <w:p w:rsidR="00BD2AEC" w:rsidRDefault="00BD2AEC" w:rsidP="00BD2AEC">
            <w:pPr>
              <w:tabs>
                <w:tab w:val="center" w:pos="578"/>
                <w:tab w:val="center" w:pos="1925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контракта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без </w:t>
            </w:r>
          </w:p>
          <w:p w:rsidR="00BD2AEC" w:rsidRDefault="00BD2AEC" w:rsidP="00BD2AEC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соблюдения установленной процедуры; </w:t>
            </w:r>
          </w:p>
          <w:p w:rsidR="00BD2AEC" w:rsidRDefault="00BD2AEC" w:rsidP="00BD2AEC">
            <w:pPr>
              <w:spacing w:line="277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Заключение </w:t>
            </w:r>
          </w:p>
          <w:p w:rsidR="00BD2AEC" w:rsidRDefault="00BD2AEC" w:rsidP="00BD2AEC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государственного </w:t>
            </w:r>
          </w:p>
          <w:p w:rsidR="00BD2AEC" w:rsidRDefault="00BD2AEC" w:rsidP="00BD2AEC">
            <w:pPr>
              <w:spacing w:after="3" w:line="275" w:lineRule="auto"/>
              <w:ind w:left="108"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контракта с организаций, не имеющей права на предоставление определенных услуг </w:t>
            </w:r>
          </w:p>
          <w:p w:rsidR="00BD2AEC" w:rsidRDefault="00BD2AEC" w:rsidP="00BD2AEC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(товаров); </w:t>
            </w:r>
          </w:p>
          <w:p w:rsidR="00BD2AEC" w:rsidRDefault="00BD2AEC" w:rsidP="00BD2AEC">
            <w:pPr>
              <w:pStyle w:val="a4"/>
              <w:numPr>
                <w:ilvl w:val="0"/>
                <w:numId w:val="2"/>
              </w:numPr>
              <w:spacing w:after="18"/>
            </w:pPr>
            <w:r w:rsidRPr="00BD2AEC">
              <w:rPr>
                <w:rFonts w:ascii="Times New Roman" w:eastAsia="Times New Roman" w:hAnsi="Times New Roman" w:cs="Times New Roman"/>
              </w:rPr>
              <w:t>Не предъявление</w:t>
            </w:r>
            <w:r w:rsidRPr="00BD2A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2AEC" w:rsidRDefault="00BD2AEC" w:rsidP="00BD2AEC">
            <w:pPr>
              <w:tabs>
                <w:tab w:val="center" w:pos="588"/>
                <w:tab w:val="center" w:pos="2019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претензий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 </w:t>
            </w:r>
          </w:p>
          <w:p w:rsidR="00BD2AEC" w:rsidRDefault="00BD2AEC" w:rsidP="00BD2AEC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организациям, нарушившим </w:t>
            </w:r>
          </w:p>
          <w:p w:rsidR="00BD2AEC" w:rsidRDefault="00BD2AEC" w:rsidP="00BD2AEC">
            <w:pPr>
              <w:spacing w:after="1" w:line="276" w:lineRule="auto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условия договора; </w:t>
            </w:r>
          </w:p>
          <w:p w:rsidR="00BD2AEC" w:rsidRDefault="00BD2AEC" w:rsidP="00BD2AEC">
            <w:pPr>
              <w:spacing w:after="1" w:line="27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Наличие факторов, препятствующих обеспечению </w:t>
            </w:r>
          </w:p>
          <w:p w:rsidR="00BD2AEC" w:rsidRDefault="00BD2AEC" w:rsidP="00BD2AEC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свободной </w:t>
            </w:r>
          </w:p>
          <w:p w:rsidR="00BD2AEC" w:rsidRDefault="00BD2AEC" w:rsidP="00BD2AE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конкуренции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конкурсах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получение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средств господдержки </w:t>
            </w:r>
          </w:p>
        </w:tc>
        <w:tc>
          <w:tcPr>
            <w:tcW w:w="2730" w:type="dxa"/>
          </w:tcPr>
          <w:p w:rsidR="00BD2AEC" w:rsidRPr="00BD2AEC" w:rsidRDefault="00BD2AEC" w:rsidP="00BD2AEC">
            <w:pPr>
              <w:numPr>
                <w:ilvl w:val="0"/>
                <w:numId w:val="4"/>
              </w:numPr>
              <w:spacing w:line="281" w:lineRule="auto"/>
              <w:ind w:right="2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создание комиссии по закупкам в рамках требований законодательства; </w:t>
            </w:r>
          </w:p>
          <w:p w:rsidR="00BD2AEC" w:rsidRDefault="00BD2AEC" w:rsidP="00BD2AEC">
            <w:pPr>
              <w:numPr>
                <w:ilvl w:val="0"/>
                <w:numId w:val="4"/>
              </w:numPr>
              <w:spacing w:line="281" w:lineRule="auto"/>
              <w:ind w:right="20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систематический контроль за </w:t>
            </w:r>
          </w:p>
          <w:p w:rsidR="00BD2AEC" w:rsidRDefault="00BD2AEC" w:rsidP="00BD2AEC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деятельностью комиссии </w:t>
            </w:r>
          </w:p>
          <w:p w:rsidR="00BD2AEC" w:rsidRDefault="00BD2AEC" w:rsidP="00BD2AEC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по закупкам; </w:t>
            </w:r>
          </w:p>
          <w:p w:rsidR="00BD2AEC" w:rsidRDefault="00BD2AEC" w:rsidP="00BD2AEC">
            <w:pPr>
              <w:numPr>
                <w:ilvl w:val="0"/>
                <w:numId w:val="4"/>
              </w:numPr>
              <w:spacing w:line="259" w:lineRule="auto"/>
              <w:ind w:right="200"/>
            </w:pPr>
            <w:r>
              <w:rPr>
                <w:rFonts w:ascii="Times New Roman" w:eastAsia="Times New Roman" w:hAnsi="Times New Roman" w:cs="Times New Roman"/>
              </w:rPr>
              <w:t xml:space="preserve">ежеквартальный отчёт комиссии по закупкам </w:t>
            </w:r>
          </w:p>
        </w:tc>
        <w:tc>
          <w:tcPr>
            <w:tcW w:w="2028" w:type="dxa"/>
          </w:tcPr>
          <w:p w:rsidR="00BD2AEC" w:rsidRDefault="00BD2AEC" w:rsidP="00BD2AEC">
            <w:pPr>
              <w:spacing w:line="276" w:lineRule="auto"/>
              <w:ind w:left="108" w:right="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Директор, 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директора по АХ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, члены комиссии по закупкам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7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0" w:type="dxa"/>
          </w:tcPr>
          <w:p w:rsidR="00BD2AEC" w:rsidRDefault="00BD2AEC" w:rsidP="00BD2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Имущественного и неимущественного характера</w:t>
            </w:r>
          </w:p>
        </w:tc>
        <w:tc>
          <w:tcPr>
            <w:tcW w:w="2044" w:type="dxa"/>
          </w:tcPr>
          <w:p w:rsidR="00BD2AEC" w:rsidRDefault="00BD2AEC" w:rsidP="00BD2AEC">
            <w:pPr>
              <w:spacing w:line="279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вознаграждение от </w:t>
            </w:r>
          </w:p>
          <w:p w:rsidR="00BD2AEC" w:rsidRDefault="00BD2AEC" w:rsidP="00BD2AE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контрагентов </w:t>
            </w:r>
          </w:p>
          <w:p w:rsidR="00BD2AEC" w:rsidRDefault="00BD2AEC" w:rsidP="00BD2AEC">
            <w:pPr>
              <w:tabs>
                <w:tab w:val="center" w:pos="1752"/>
              </w:tabs>
              <w:spacing w:after="28"/>
              <w:rPr>
                <w:rFonts w:ascii="Times New Roman" w:eastAsia="Times New Roman" w:hAnsi="Times New Roman" w:cs="Times New Roman"/>
              </w:rPr>
            </w:pPr>
          </w:p>
        </w:tc>
      </w:tr>
      <w:tr w:rsidR="00BD2AEC" w:rsidTr="00BD2AEC">
        <w:tc>
          <w:tcPr>
            <w:tcW w:w="2098" w:type="dxa"/>
          </w:tcPr>
          <w:p w:rsidR="00BD2AEC" w:rsidRDefault="00BD2AEC" w:rsidP="00BD2AEC">
            <w:pPr>
              <w:spacing w:line="276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Финансово- хозяйственная деятельность образовательного учреждения </w:t>
            </w:r>
          </w:p>
          <w:p w:rsidR="00BD2AEC" w:rsidRDefault="00BD2AEC" w:rsidP="00BD2AEC">
            <w:pPr>
              <w:spacing w:after="68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15" w:type="dxa"/>
          </w:tcPr>
          <w:p w:rsidR="00BD2AEC" w:rsidRDefault="00BD2AEC" w:rsidP="00BD2AEC">
            <w:pPr>
              <w:spacing w:line="276" w:lineRule="auto"/>
              <w:ind w:left="108" w:right="42"/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распределения денежных средств, </w:t>
            </w:r>
          </w:p>
          <w:p w:rsidR="00BD2AEC" w:rsidRDefault="00BD2AEC" w:rsidP="00BD2AEC">
            <w:pPr>
              <w:ind w:left="108" w:right="5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поступивших на выполнение МЗ и иные цели </w:t>
            </w:r>
          </w:p>
        </w:tc>
        <w:tc>
          <w:tcPr>
            <w:tcW w:w="2449" w:type="dxa"/>
          </w:tcPr>
          <w:p w:rsidR="00BD2AEC" w:rsidRDefault="00BD2AEC" w:rsidP="00BD2AEC">
            <w:pPr>
              <w:spacing w:line="275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Нецелевое использование бюджетных средств </w:t>
            </w:r>
          </w:p>
          <w:p w:rsidR="00BD2AEC" w:rsidRDefault="00BD2AEC" w:rsidP="00BD2AEC">
            <w:pPr>
              <w:spacing w:after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30" w:type="dxa"/>
          </w:tcPr>
          <w:p w:rsidR="00BD2AEC" w:rsidRDefault="00BD2AEC" w:rsidP="00BD2AEC">
            <w:pPr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ревизионный контроль со стороны Учредителя; -создание комиссии по закупкам в рамках требований законодательства; </w:t>
            </w:r>
          </w:p>
          <w:p w:rsidR="00BD2AEC" w:rsidRDefault="00BD2AEC" w:rsidP="00BD2AEC">
            <w:pPr>
              <w:numPr>
                <w:ilvl w:val="0"/>
                <w:numId w:val="5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своевременное размещение необходимой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информации в специализированных </w:t>
            </w:r>
          </w:p>
          <w:p w:rsidR="00BD2AEC" w:rsidRDefault="00BD2AEC" w:rsidP="00BD2AEC">
            <w:pPr>
              <w:spacing w:after="19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электронных базах; </w:t>
            </w:r>
          </w:p>
          <w:p w:rsidR="00BD2AEC" w:rsidRDefault="000B50A3" w:rsidP="000B50A3">
            <w:pPr>
              <w:spacing w:after="23" w:line="259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D2AEC">
              <w:rPr>
                <w:rFonts w:ascii="Times New Roman" w:eastAsia="Times New Roman" w:hAnsi="Times New Roman" w:cs="Times New Roman"/>
              </w:rPr>
              <w:t xml:space="preserve">ежегодный </w:t>
            </w:r>
            <w:r w:rsidR="00BD2AEC">
              <w:rPr>
                <w:rFonts w:ascii="Times New Roman" w:eastAsia="Times New Roman" w:hAnsi="Times New Roman" w:cs="Times New Roman"/>
              </w:rPr>
              <w:tab/>
              <w:t xml:space="preserve">отчёт </w:t>
            </w:r>
          </w:p>
          <w:p w:rsidR="00BD2AEC" w:rsidRDefault="00BD2AEC" w:rsidP="000B50A3">
            <w:pPr>
              <w:spacing w:line="281" w:lineRule="auto"/>
              <w:ind w:left="115"/>
            </w:pP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0B50A3">
              <w:rPr>
                <w:rFonts w:ascii="Times New Roman" w:eastAsia="Times New Roman" w:hAnsi="Times New Roman" w:cs="Times New Roman"/>
              </w:rPr>
              <w:t>ОУ</w:t>
            </w:r>
            <w:r>
              <w:rPr>
                <w:rFonts w:ascii="Times New Roman" w:eastAsia="Times New Roman" w:hAnsi="Times New Roman" w:cs="Times New Roman"/>
              </w:rPr>
              <w:t xml:space="preserve"> по выполнению Плана ФХД </w:t>
            </w:r>
          </w:p>
          <w:p w:rsidR="00BD2AEC" w:rsidRDefault="00BD2AEC" w:rsidP="00BD2AEC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на текущий год</w:t>
            </w:r>
          </w:p>
        </w:tc>
        <w:tc>
          <w:tcPr>
            <w:tcW w:w="2028" w:type="dxa"/>
          </w:tcPr>
          <w:p w:rsidR="00BD2AEC" w:rsidRDefault="00BD2AEC" w:rsidP="00BD2AEC">
            <w:pPr>
              <w:spacing w:line="275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Директор,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4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68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30" w:type="dxa"/>
          </w:tcPr>
          <w:p w:rsidR="00BD2AEC" w:rsidRDefault="00BD2AEC" w:rsidP="00BD2AEC">
            <w:pPr>
              <w:spacing w:line="276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Имущественного и неимущественного характера </w:t>
            </w:r>
          </w:p>
          <w:p w:rsidR="00BD2AEC" w:rsidRDefault="00BD2AEC" w:rsidP="00BD2AEC">
            <w:pPr>
              <w:spacing w:after="51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54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spacing w:after="68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D2AEC" w:rsidRDefault="00BD2AEC" w:rsidP="00BD2AE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044" w:type="dxa"/>
          </w:tcPr>
          <w:p w:rsidR="00BD2AEC" w:rsidRDefault="00BD2AEC" w:rsidP="00BD2AEC">
            <w:pPr>
              <w:spacing w:after="3" w:line="276" w:lineRule="auto"/>
              <w:ind w:left="108" w:right="1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Незаконное присвоение денежных средств, незаконное вознаграждение от </w:t>
            </w:r>
          </w:p>
          <w:p w:rsidR="00BD2AEC" w:rsidRDefault="00BD2AEC" w:rsidP="00BD2AEC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контрагентов </w:t>
            </w:r>
          </w:p>
          <w:p w:rsidR="00BD2AEC" w:rsidRDefault="00BD2AEC" w:rsidP="00BD2AEC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BD2AEC" w:rsidRDefault="00BD2AEC" w:rsidP="00BD2AEC">
      <w:pPr>
        <w:jc w:val="center"/>
      </w:pPr>
      <w:bookmarkStart w:id="0" w:name="_GoBack"/>
      <w:bookmarkEnd w:id="0"/>
    </w:p>
    <w:sectPr w:rsidR="00BD2AEC" w:rsidSect="00BD2AE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0FE6"/>
    <w:multiLevelType w:val="hybridMultilevel"/>
    <w:tmpl w:val="603C505A"/>
    <w:lvl w:ilvl="0" w:tplc="DF3EF47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E64F6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E8FB4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A8B60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222E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6FE0C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4EC4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613BA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ACB4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2E3F03"/>
    <w:multiLevelType w:val="hybridMultilevel"/>
    <w:tmpl w:val="2A322238"/>
    <w:lvl w:ilvl="0" w:tplc="2B141C0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CE035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A6032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48C0D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080C1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CD0A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6D8FC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89F3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3DC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CE579C"/>
    <w:multiLevelType w:val="hybridMultilevel"/>
    <w:tmpl w:val="8A660F52"/>
    <w:lvl w:ilvl="0" w:tplc="18AA84DE">
      <w:start w:val="2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ADA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F409B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6B59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DA9F4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5A2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8B72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6002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AF59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D32A16"/>
    <w:multiLevelType w:val="hybridMultilevel"/>
    <w:tmpl w:val="AF886D7C"/>
    <w:lvl w:ilvl="0" w:tplc="CBCCECBA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C2215C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A2A5AC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E889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81F3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209F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E48D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EB56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C611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763A50"/>
    <w:multiLevelType w:val="hybridMultilevel"/>
    <w:tmpl w:val="8C2848D4"/>
    <w:lvl w:ilvl="0" w:tplc="7F08F27C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26C5E">
      <w:start w:val="1"/>
      <w:numFmt w:val="bullet"/>
      <w:lvlText w:val="o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E6B94">
      <w:start w:val="1"/>
      <w:numFmt w:val="bullet"/>
      <w:lvlText w:val="▪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2B9D4">
      <w:start w:val="1"/>
      <w:numFmt w:val="bullet"/>
      <w:lvlText w:val="•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06A7C">
      <w:start w:val="1"/>
      <w:numFmt w:val="bullet"/>
      <w:lvlText w:val="o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A6BBA">
      <w:start w:val="1"/>
      <w:numFmt w:val="bullet"/>
      <w:lvlText w:val="▪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FDF6">
      <w:start w:val="1"/>
      <w:numFmt w:val="bullet"/>
      <w:lvlText w:val="•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6E924">
      <w:start w:val="1"/>
      <w:numFmt w:val="bullet"/>
      <w:lvlText w:val="o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64E0C">
      <w:start w:val="1"/>
      <w:numFmt w:val="bullet"/>
      <w:lvlText w:val="▪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C"/>
    <w:rsid w:val="000B50A3"/>
    <w:rsid w:val="00BD2AEC"/>
    <w:rsid w:val="00F6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774CF"/>
  <w15:chartTrackingRefBased/>
  <w15:docId w15:val="{9D105ACB-E25C-4280-B167-3AD49600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E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2024-01-17T06:17:00Z</dcterms:created>
  <dcterms:modified xsi:type="dcterms:W3CDTF">2024-01-17T06:38:00Z</dcterms:modified>
</cp:coreProperties>
</file>