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2C4E" w14:textId="77777777" w:rsidR="003A0CF1" w:rsidRDefault="003A0CF1" w:rsidP="003A0CF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AB867A" w14:textId="77777777" w:rsidR="003A0CF1" w:rsidRPr="003C28DA" w:rsidRDefault="003A0CF1" w:rsidP="003A0CF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</w:p>
    <w:p w14:paraId="4A52BD80" w14:textId="77777777" w:rsidR="003A0CF1" w:rsidRDefault="003A0CF1" w:rsidP="003A0CF1">
      <w:pPr>
        <w:pStyle w:val="a9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График ближайших вебинаров</w:t>
      </w:r>
    </w:p>
    <w:p w14:paraId="633CC6C4" w14:textId="77777777" w:rsidR="003A0CF1" w:rsidRPr="005A6CB3" w:rsidRDefault="003A0CF1" w:rsidP="003A0CF1">
      <w:pPr>
        <w:pStyle w:val="a9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2DA2434B" w14:textId="77777777" w:rsidR="003A0CF1" w:rsidRPr="00AA6715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>Всероссийская образовательная платформа «Поколение думающих» (THINK24) – резидент Сколково и АНО ВО «Университет Иннополис» (справка о компании прилагается, приложение № 1), партнер РГПУ им. А.И. Герцена в рамках реализации Федеральных проектов «Цифровая образовательная среда» и «Современная школа» предлагает Вам рассмотреть возможность безвозмездного сотрудничества в бесплатных обучающих вебинарах в целях качественной подготовки к сдаче обучающимися ГИА.</w:t>
      </w:r>
    </w:p>
    <w:p w14:paraId="44FC51E9" w14:textId="77777777" w:rsidR="003A0CF1" w:rsidRPr="00AA6715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 xml:space="preserve">Для регистрации на любое из выбранных мероприятий необходимо зарегистрироваться по ссылке: </w:t>
      </w:r>
      <w:hyperlink r:id="rId4" w:history="1">
        <w:r w:rsidRPr="00FF5C98">
          <w:rPr>
            <w:rStyle w:val="a4"/>
            <w:sz w:val="22"/>
            <w:szCs w:val="22"/>
          </w:rPr>
          <w:t>https://clck.ru/376Skw</w:t>
        </w:r>
      </w:hyperlink>
      <w:r>
        <w:rPr>
          <w:color w:val="000000"/>
          <w:sz w:val="22"/>
          <w:szCs w:val="22"/>
        </w:rPr>
        <w:t xml:space="preserve"> </w:t>
      </w:r>
      <w:r w:rsidRPr="00AA6715">
        <w:rPr>
          <w:color w:val="000000"/>
          <w:sz w:val="22"/>
          <w:szCs w:val="22"/>
        </w:rPr>
        <w:t>и выбрать соответствующий предмет и дату желаемого участия.</w:t>
      </w:r>
    </w:p>
    <w:p w14:paraId="1EDF444B" w14:textId="77777777" w:rsidR="003A0CF1" w:rsidRPr="00AA6715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>По факту регистрации обучающийся получает прямую ссылку для участия, и самостоятельно подключается к мероприятию.</w:t>
      </w:r>
    </w:p>
    <w:p w14:paraId="764BB341" w14:textId="77777777" w:rsidR="003A0CF1" w:rsidRPr="00AA6715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>Обращаем внимание, что указанная ссылка будет действительна и для вебинаров в следующие месяцы.</w:t>
      </w:r>
    </w:p>
    <w:tbl>
      <w:tblPr>
        <w:tblStyle w:val="a3"/>
        <w:tblW w:w="9611" w:type="dxa"/>
        <w:tblInd w:w="-431" w:type="dxa"/>
        <w:tblLook w:val="04A0" w:firstRow="1" w:lastRow="0" w:firstColumn="1" w:lastColumn="0" w:noHBand="0" w:noVBand="1"/>
      </w:tblPr>
      <w:tblGrid>
        <w:gridCol w:w="1879"/>
        <w:gridCol w:w="6204"/>
        <w:gridCol w:w="1528"/>
      </w:tblGrid>
      <w:tr w:rsidR="003A0CF1" w14:paraId="74DF6E51" w14:textId="77777777" w:rsidTr="001C4E3C">
        <w:tc>
          <w:tcPr>
            <w:tcW w:w="1941" w:type="dxa"/>
          </w:tcPr>
          <w:p w14:paraId="5128C5CA" w14:textId="77777777" w:rsidR="003A0CF1" w:rsidRPr="0092628F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92628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7387" w:type="dxa"/>
          </w:tcPr>
          <w:p w14:paraId="2438B5EB" w14:textId="77777777" w:rsidR="003A0CF1" w:rsidRPr="0092628F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92628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" w:type="dxa"/>
          </w:tcPr>
          <w:p w14:paraId="2EA7C28D" w14:textId="77777777" w:rsidR="003A0CF1" w:rsidRPr="0092628F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92628F">
              <w:rPr>
                <w:b/>
                <w:bCs/>
                <w:color w:val="000000"/>
              </w:rPr>
              <w:t>Ближайшие даты</w:t>
            </w:r>
          </w:p>
        </w:tc>
      </w:tr>
      <w:tr w:rsidR="003A0CF1" w14:paraId="57254EFA" w14:textId="77777777" w:rsidTr="001C4E3C">
        <w:tc>
          <w:tcPr>
            <w:tcW w:w="1941" w:type="dxa"/>
          </w:tcPr>
          <w:p w14:paraId="3A980420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87" w:type="dxa"/>
          </w:tcPr>
          <w:p w14:paraId="74E30C46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>Задание № 15 ЕГЭ. Существуют простые алгоритмы, которые позволять заработать первичный балл в этом задании, даже если встретится причастие, отглагольное прилагательное, отымённое прилагательное, наречие и слова-исключения. Несколько понятных и логичных шагов, которые следует закрепить и отработать позволят безошибочно выполнять это задание.</w:t>
            </w:r>
          </w:p>
        </w:tc>
        <w:tc>
          <w:tcPr>
            <w:tcW w:w="283" w:type="dxa"/>
          </w:tcPr>
          <w:p w14:paraId="455AD2AA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22.</w:t>
            </w:r>
            <w:r w:rsidRPr="00FD3AEE">
              <w:rPr>
                <w:color w:val="000000"/>
                <w:sz w:val="20"/>
                <w:szCs w:val="20"/>
                <w:lang w:val="en-US"/>
              </w:rPr>
              <w:t>12;</w:t>
            </w:r>
          </w:p>
          <w:p w14:paraId="485099B3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D3AEE">
              <w:rPr>
                <w:color w:val="000000"/>
                <w:sz w:val="20"/>
                <w:szCs w:val="20"/>
              </w:rPr>
              <w:t>.</w:t>
            </w:r>
            <w:r w:rsidRPr="00FD3AEE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3A0CF1" w14:paraId="0804B429" w14:textId="77777777" w:rsidTr="001C4E3C">
        <w:tc>
          <w:tcPr>
            <w:tcW w:w="1941" w:type="dxa"/>
          </w:tcPr>
          <w:p w14:paraId="4D53BCB0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87" w:type="dxa"/>
          </w:tcPr>
          <w:p w14:paraId="207A8D0C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>ЕГЭ № 5. Теория вероятностей. Есть несколько типов заданий, которые вызывают трудности при решении. На занятии мы разберем самые проблемные и на первый взгляд сложные задания по теории вероятностей, которые на самом деле решаются в несколько действий.</w:t>
            </w:r>
          </w:p>
        </w:tc>
        <w:tc>
          <w:tcPr>
            <w:tcW w:w="283" w:type="dxa"/>
          </w:tcPr>
          <w:p w14:paraId="1881C86C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19.12;</w:t>
            </w:r>
          </w:p>
          <w:p w14:paraId="45F2A084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26.12</w:t>
            </w:r>
          </w:p>
        </w:tc>
      </w:tr>
      <w:tr w:rsidR="003A0CF1" w14:paraId="125AE0F8" w14:textId="77777777" w:rsidTr="001C4E3C">
        <w:tc>
          <w:tcPr>
            <w:tcW w:w="1941" w:type="dxa"/>
          </w:tcPr>
          <w:p w14:paraId="378031F5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387" w:type="dxa"/>
          </w:tcPr>
          <w:p w14:paraId="4C094C29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 xml:space="preserve">ЕГЭ № 21. Графики, неценовые факторы спроса и предложения, равновесная цена. Если вовремя в этом не разобраться, то потеря баллов неминуема (3 первичных или 6 вторичных). На вебинаре мы разберемся во всех этих дефинициях и научимся безошибочно решать указанную задачу. </w:t>
            </w:r>
          </w:p>
        </w:tc>
        <w:tc>
          <w:tcPr>
            <w:tcW w:w="283" w:type="dxa"/>
          </w:tcPr>
          <w:p w14:paraId="1BBB97AA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15.12;</w:t>
            </w:r>
          </w:p>
          <w:p w14:paraId="06B61546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22.12</w:t>
            </w:r>
          </w:p>
        </w:tc>
      </w:tr>
      <w:tr w:rsidR="003A0CF1" w14:paraId="799130FA" w14:textId="77777777" w:rsidTr="001C4E3C">
        <w:tc>
          <w:tcPr>
            <w:tcW w:w="1941" w:type="dxa"/>
          </w:tcPr>
          <w:p w14:paraId="437548F5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387" w:type="dxa"/>
          </w:tcPr>
          <w:p w14:paraId="057CC80F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>ЕГЭ№14. Системы счисления. Мы уже сейчас знаем, какие есть изменения в ЕГЭ по информатике в этом году, но окончательны ли они? Пока изменили только 13-ое задание, в разы усложнив его и полностью изменив концепт. Что делать, чтобы при любых изменениях быть готовым к новым заданиям?</w:t>
            </w:r>
          </w:p>
        </w:tc>
        <w:tc>
          <w:tcPr>
            <w:tcW w:w="283" w:type="dxa"/>
          </w:tcPr>
          <w:p w14:paraId="1F138DE4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18.12;</w:t>
            </w:r>
          </w:p>
          <w:p w14:paraId="4C371E46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25.12</w:t>
            </w:r>
          </w:p>
        </w:tc>
      </w:tr>
      <w:tr w:rsidR="003A0CF1" w14:paraId="60D1DD5F" w14:textId="77777777" w:rsidTr="001C4E3C">
        <w:tc>
          <w:tcPr>
            <w:tcW w:w="1941" w:type="dxa"/>
          </w:tcPr>
          <w:p w14:paraId="5210E6F2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387" w:type="dxa"/>
          </w:tcPr>
          <w:p w14:paraId="6D78C321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 xml:space="preserve">На занятии мы обсудим одну из этих основных форм - частицы. Определим модели, которые можно использовать для описания их </w:t>
            </w:r>
            <w:r w:rsidRPr="00FD3AEE">
              <w:rPr>
                <w:sz w:val="20"/>
                <w:szCs w:val="20"/>
              </w:rPr>
              <w:lastRenderedPageBreak/>
              <w:t>макроскопического состояния: объём, температуру, давление, их взаимосвязь и основные законы, по которым они изменяются. Эти знания пригодятся для решения задач первой и второй части ЕГЭ по физике.</w:t>
            </w:r>
          </w:p>
        </w:tc>
        <w:tc>
          <w:tcPr>
            <w:tcW w:w="283" w:type="dxa"/>
          </w:tcPr>
          <w:p w14:paraId="4CE2B46F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lastRenderedPageBreak/>
              <w:t>21.12;</w:t>
            </w:r>
          </w:p>
          <w:p w14:paraId="3030F272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28.12</w:t>
            </w:r>
          </w:p>
        </w:tc>
      </w:tr>
      <w:tr w:rsidR="003A0CF1" w14:paraId="5454322F" w14:textId="77777777" w:rsidTr="001C4E3C">
        <w:tc>
          <w:tcPr>
            <w:tcW w:w="1941" w:type="dxa"/>
          </w:tcPr>
          <w:p w14:paraId="6E267D2B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387" w:type="dxa"/>
          </w:tcPr>
          <w:p w14:paraId="559CDDE5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>ЕГЭ №30. Реакции ионного обмена. Реакции обмена - неотъемлимая часть заданий по неорганической химии. Они встречаются в заданиях 6,7,8,9,17 в первой части и 30,31,34 второй части. Для выполнения заданий 6 и 30 необходимо к тому же уметь писать уравнения реакций обмена в молекулярном, полном и сокращенном ионных видах. На занятии мы разберем как простые варианты заданий, так и сложные, в которых часто делают ошибки (реакции с кислыми солями, взаимное усиление гидролиза и т.п.).</w:t>
            </w:r>
          </w:p>
        </w:tc>
        <w:tc>
          <w:tcPr>
            <w:tcW w:w="283" w:type="dxa"/>
          </w:tcPr>
          <w:p w14:paraId="7DF97D05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19.12;</w:t>
            </w:r>
          </w:p>
          <w:p w14:paraId="673E190F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26.12</w:t>
            </w:r>
          </w:p>
        </w:tc>
      </w:tr>
      <w:tr w:rsidR="003A0CF1" w14:paraId="365ABEA6" w14:textId="77777777" w:rsidTr="001C4E3C">
        <w:tc>
          <w:tcPr>
            <w:tcW w:w="1941" w:type="dxa"/>
          </w:tcPr>
          <w:p w14:paraId="3D1617D5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387" w:type="dxa"/>
          </w:tcPr>
          <w:p w14:paraId="139D094B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FD3AEE">
              <w:rPr>
                <w:sz w:val="20"/>
                <w:szCs w:val="20"/>
              </w:rPr>
              <w:t>ЕГЭ № 3. Если ты всё ещё боишься, что перепутаешь соматическую и гаплоидные клетки, хромосомный набор с набором днк, а слова макро- и микроспора тебе кажутся иностранными, то я готова тебе помочь. Приходи на пробный урок, где я разберу решение всех видов заданий номер 3, научу легко разбираться с составом ДНК и количеством хромосом. Не трать больше минуты на то, что можно за неё сделать.</w:t>
            </w:r>
          </w:p>
        </w:tc>
        <w:tc>
          <w:tcPr>
            <w:tcW w:w="283" w:type="dxa"/>
          </w:tcPr>
          <w:p w14:paraId="0A7A3D98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20.12;</w:t>
            </w:r>
          </w:p>
          <w:p w14:paraId="0E999E4E" w14:textId="77777777" w:rsidR="003A0CF1" w:rsidRPr="00FD3AEE" w:rsidRDefault="003A0CF1" w:rsidP="001C4E3C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AEE">
              <w:rPr>
                <w:color w:val="000000"/>
                <w:sz w:val="20"/>
                <w:szCs w:val="20"/>
                <w:lang w:val="en-US"/>
              </w:rPr>
              <w:t>27.12</w:t>
            </w:r>
          </w:p>
        </w:tc>
      </w:tr>
    </w:tbl>
    <w:p w14:paraId="5250B581" w14:textId="77777777" w:rsidR="003A0CF1" w:rsidRDefault="003A0CF1" w:rsidP="003A0CF1">
      <w:pPr>
        <w:pStyle w:val="a9"/>
        <w:spacing w:before="0" w:beforeAutospacing="0" w:after="0" w:afterAutospacing="0" w:line="360" w:lineRule="auto"/>
        <w:jc w:val="both"/>
        <w:rPr>
          <w:color w:val="000000"/>
          <w:lang w:val="ru"/>
        </w:rPr>
      </w:pPr>
    </w:p>
    <w:p w14:paraId="7D4FEF79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7EA2FE72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4E08679B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337B7974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22EF304F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4D1D0005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6C9697EE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684F76AD" w14:textId="77777777" w:rsidR="003A0CF1" w:rsidRDefault="003A0CF1" w:rsidP="003A0CF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lang w:val="ru"/>
        </w:rPr>
      </w:pPr>
    </w:p>
    <w:p w14:paraId="4B88B65F" w14:textId="77777777" w:rsidR="003A0CF1" w:rsidRDefault="003A0CF1" w:rsidP="003A0CF1">
      <w:pPr>
        <w:pStyle w:val="a9"/>
        <w:spacing w:before="0" w:beforeAutospacing="0" w:after="0" w:afterAutospacing="0" w:line="360" w:lineRule="auto"/>
        <w:jc w:val="both"/>
        <w:rPr>
          <w:color w:val="000000"/>
          <w:lang w:val="ru"/>
        </w:rPr>
      </w:pPr>
    </w:p>
    <w:p w14:paraId="56C92716" w14:textId="77777777" w:rsidR="003A0CF1" w:rsidRPr="0092628F" w:rsidRDefault="003A0CF1" w:rsidP="003A0CF1">
      <w:pPr>
        <w:shd w:val="clear" w:color="auto" w:fill="FFFFFF"/>
        <w:spacing w:line="240" w:lineRule="auto"/>
        <w:rPr>
          <w:lang w:val="ru-RU"/>
        </w:rPr>
      </w:pPr>
      <w:r w:rsidRPr="00175E7D">
        <w:rPr>
          <w:rFonts w:ascii="Times New Roman" w:eastAsia="Times New Roman" w:hAnsi="Times New Roman" w:cs="Times New Roman"/>
          <w:sz w:val="20"/>
          <w:szCs w:val="20"/>
        </w:rPr>
        <w:t>Исп. Зорин Руслан Тимурови</w:t>
      </w:r>
      <w:r>
        <w:rPr>
          <w:rFonts w:ascii="Times New Roman" w:eastAsia="Times New Roman" w:hAnsi="Times New Roman" w:cs="Times New Roman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5" w:history="1"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zorin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@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think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24.</w:t>
        </w:r>
        <w:r w:rsidRPr="00FF5C98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175E7D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+ 7</w:t>
      </w:r>
      <w:r w:rsidRPr="00175E7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75E7D">
        <w:rPr>
          <w:rFonts w:ascii="Times New Roman" w:eastAsia="Times New Roman" w:hAnsi="Times New Roman" w:cs="Times New Roman"/>
          <w:sz w:val="20"/>
          <w:szCs w:val="20"/>
          <w:lang w:val="ru-RU"/>
        </w:rPr>
        <w:t>915</w:t>
      </w:r>
      <w:r w:rsidRPr="00175E7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75E7D">
        <w:rPr>
          <w:rFonts w:ascii="Times New Roman" w:eastAsia="Times New Roman" w:hAnsi="Times New Roman" w:cs="Times New Roman"/>
          <w:sz w:val="20"/>
          <w:szCs w:val="20"/>
          <w:lang w:val="ru-RU"/>
        </w:rPr>
        <w:t>991 57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15</w:t>
      </w:r>
    </w:p>
    <w:p w14:paraId="27D734EF" w14:textId="77777777" w:rsidR="00DC70A4" w:rsidRPr="003A0CF1" w:rsidRDefault="00DC70A4">
      <w:pPr>
        <w:rPr>
          <w:lang w:val="ru-RU"/>
        </w:rPr>
      </w:pPr>
    </w:p>
    <w:sectPr w:rsidR="00DC70A4" w:rsidRPr="003A0CF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1D78" w14:textId="77777777" w:rsidR="00E07CE8" w:rsidRPr="0073757A" w:rsidRDefault="003A0CF1">
    <w:pPr>
      <w:pStyle w:val="a7"/>
      <w:rPr>
        <w:lang w:val="ru-R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941" w14:textId="77777777" w:rsidR="00E07CE8" w:rsidRPr="002E1A00" w:rsidRDefault="003A0CF1">
    <w:pPr>
      <w:pStyle w:val="a5"/>
      <w:ind w:right="-469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F1"/>
    <w:rsid w:val="003A0CF1"/>
    <w:rsid w:val="007E707F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2F24"/>
  <w15:chartTrackingRefBased/>
  <w15:docId w15:val="{E12A7D1C-5CB3-46DA-BA79-D1E25F8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0CF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F1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A0C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F1"/>
    <w:rPr>
      <w:rFonts w:ascii="Arial" w:eastAsia="Arial" w:hAnsi="Arial" w:cs="Arial"/>
      <w:lang w:val="ru" w:eastAsia="ru-RU"/>
    </w:rPr>
  </w:style>
  <w:style w:type="paragraph" w:styleId="a7">
    <w:name w:val="footer"/>
    <w:basedOn w:val="a"/>
    <w:link w:val="a8"/>
    <w:uiPriority w:val="99"/>
    <w:unhideWhenUsed/>
    <w:rsid w:val="003A0C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F1"/>
    <w:rPr>
      <w:rFonts w:ascii="Arial" w:eastAsia="Arial" w:hAnsi="Arial" w:cs="Arial"/>
      <w:lang w:val="ru" w:eastAsia="ru-RU"/>
    </w:rPr>
  </w:style>
  <w:style w:type="paragraph" w:styleId="a9">
    <w:name w:val="Normal (Web)"/>
    <w:basedOn w:val="a"/>
    <w:uiPriority w:val="99"/>
    <w:unhideWhenUsed/>
    <w:rsid w:val="003A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.zorin@think24.ru" TargetMode="External"/><Relationship Id="rId4" Type="http://schemas.openxmlformats.org/officeDocument/2006/relationships/hyperlink" Target="https://clck.ru/376S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2023-12-13T15:01:00Z</dcterms:created>
  <dcterms:modified xsi:type="dcterms:W3CDTF">2023-12-13T15:01:00Z</dcterms:modified>
</cp:coreProperties>
</file>